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Стационарная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индукционная система </w:t>
      </w:r>
      <w:r>
        <w:rPr>
          <w:rFonts w:ascii="Times New Roman" w:hAnsi="Times New Roman"/>
          <w:b/>
          <w:sz w:val="44"/>
          <w:szCs w:val="44"/>
        </w:rPr>
      </w:r>
    </w:p>
    <w:p>
      <w:pPr>
        <w:ind w:left="2835" w:hanging="2835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Dstrana Zone-</w:t>
      </w:r>
      <w:r>
        <w:rPr>
          <w:rFonts w:ascii="Times New Roman" w:hAnsi="Times New Roman"/>
          <w:b/>
          <w:sz w:val="44"/>
          <w:szCs w:val="44"/>
        </w:rPr>
        <w:t xml:space="preserve">5</w:t>
      </w:r>
      <w:r>
        <w:rPr>
          <w:rFonts w:ascii="Times New Roman" w:hAnsi="Times New Roman"/>
          <w:b/>
          <w:sz w:val="44"/>
          <w:szCs w:val="44"/>
        </w:rPr>
        <w:t xml:space="preserve">0</w:t>
      </w:r>
      <w:r>
        <w:rPr>
          <w:rFonts w:ascii="Times New Roman" w:hAnsi="Times New Roman"/>
          <w:sz w:val="44"/>
          <w:szCs w:val="44"/>
        </w:rPr>
      </w:r>
    </w:p>
    <w:p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Руководство по эксплуатации</w:t>
      </w:r>
      <w:r>
        <w:rPr>
          <w:rFonts w:ascii="Times New Roman" w:hAnsi="Times New Roman"/>
          <w:sz w:val="40"/>
          <w:szCs w:val="40"/>
        </w:rPr>
      </w:r>
    </w:p>
    <w:p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(паспорт изделия)</w:t>
      </w:r>
      <w:r>
        <w:rPr>
          <w:rFonts w:ascii="Times New Roman" w:hAnsi="Times New Roman"/>
          <w:sz w:val="40"/>
          <w:szCs w:val="40"/>
        </w:rPr>
      </w:r>
    </w:p>
    <w:p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 xml:space="preserve">Содержание</w:t>
      </w:r>
      <w:r>
        <w:rPr>
          <w:rFonts w:ascii="Times New Roman" w:hAnsi="Times New Roman"/>
          <w:b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Правила </w:t>
      </w:r>
      <w:r>
        <w:rPr>
          <w:rFonts w:ascii="Times New Roman" w:hAnsi="Times New Roman"/>
          <w:sz w:val="28"/>
          <w:szCs w:val="40"/>
        </w:rPr>
        <w:t xml:space="preserve">безопасности..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.3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Назначение..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...….</w:t>
      </w:r>
      <w:r>
        <w:rPr>
          <w:rFonts w:ascii="Times New Roman" w:hAnsi="Times New Roman"/>
          <w:sz w:val="28"/>
          <w:szCs w:val="40"/>
        </w:rPr>
        <w:t xml:space="preserve">5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Подключение и ввод в эксплуатацию индукционной системы……………………………………………………………………………6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Технические характеристики………………………………………………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…....</w:t>
      </w:r>
      <w:r>
        <w:rPr>
          <w:rFonts w:ascii="Times New Roman" w:hAnsi="Times New Roman"/>
          <w:sz w:val="28"/>
          <w:szCs w:val="40"/>
        </w:rPr>
        <w:t xml:space="preserve">.9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Комплект поставки……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9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Адрес предприятия-</w:t>
      </w:r>
      <w:r>
        <w:rPr>
          <w:rFonts w:ascii="Times New Roman" w:hAnsi="Times New Roman"/>
          <w:sz w:val="28"/>
          <w:szCs w:val="40"/>
        </w:rPr>
        <w:t xml:space="preserve">изготовителя….</w:t>
      </w:r>
      <w:r>
        <w:rPr>
          <w:rFonts w:ascii="Times New Roman" w:hAnsi="Times New Roman"/>
          <w:sz w:val="28"/>
          <w:szCs w:val="40"/>
        </w:rPr>
        <w:t xml:space="preserve">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.……………………………….......9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 w:val="28"/>
          <w:szCs w:val="40"/>
        </w:rPr>
        <w:t xml:space="preserve">Гарантийный </w:t>
      </w:r>
      <w:r>
        <w:rPr>
          <w:rFonts w:ascii="Times New Roman" w:hAnsi="Times New Roman"/>
          <w:sz w:val="28"/>
          <w:szCs w:val="40"/>
        </w:rPr>
        <w:t xml:space="preserve">талон..</w:t>
      </w:r>
      <w:r>
        <w:rPr>
          <w:rFonts w:ascii="Times New Roman" w:hAnsi="Times New Roman"/>
          <w:sz w:val="28"/>
          <w:szCs w:val="40"/>
        </w:rPr>
        <w:t xml:space="preserve">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…</w:t>
      </w:r>
      <w:r>
        <w:rPr>
          <w:rFonts w:ascii="Times New Roman" w:hAnsi="Times New Roman"/>
          <w:sz w:val="28"/>
          <w:szCs w:val="40"/>
        </w:rPr>
        <w:t xml:space="preserve">……..….</w:t>
      </w:r>
      <w:r>
        <w:rPr>
          <w:rFonts w:ascii="Times New Roman" w:hAnsi="Times New Roman"/>
          <w:sz w:val="28"/>
          <w:szCs w:val="40"/>
        </w:rPr>
        <w:t xml:space="preserve">….10</w:t>
      </w:r>
      <w:r>
        <w:rPr>
          <w:rFonts w:ascii="Times New Roman" w:hAnsi="Times New Roman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/>
      <w:bookmarkStart w:id="0" w:name="_Toc389472780"/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04190" cy="941070"/>
                <wp:effectExtent l="0" t="0" r="0" b="0"/>
                <wp:wrapTight wrapText="bothSides">
                  <wp:wrapPolygon edited="1">
                    <wp:start x="0" y="0"/>
                    <wp:lineTo x="0" y="20988"/>
                    <wp:lineTo x="20403" y="20988"/>
                    <wp:lineTo x="20403" y="0"/>
                    <wp:lineTo x="0" y="0"/>
                  </wp:wrapPolygon>
                </wp:wrapTight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extLs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0419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1072;o:allowoverlap:true;o:allowincell:true;mso-position-horizontal-relative:text;margin-left:0.00pt;mso-position-horizontal:absolute;mso-position-vertical-relative:text;margin-top:10.05pt;mso-position-vertical:absolute;width:39.70pt;height:74.10pt;mso-wrap-distance-left:9.00pt;mso-wrap-distance-top:0.00pt;mso-wrap-distance-right:9.00pt;mso-wrap-distance-bottom:0.00pt;" wrapcoords="0 0 0 97167 94458 97167 94458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ПРАВИЛА БЕЗОПАСНОСТИ</w:t>
      </w:r>
      <w:bookmarkEnd w:id="0"/>
      <w:r/>
      <w:r>
        <w:rPr>
          <w:rFonts w:ascii="Times New Roman" w:hAnsi="Times New Roman"/>
          <w:b/>
          <w:sz w:val="28"/>
          <w:szCs w:val="28"/>
        </w:rPr>
      </w:r>
    </w:p>
    <w:p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Информация, содержащаяся в руководстве по эксплуатации, важна для вашей безопасности, для правильного использования и ухода за устройством.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55880</wp:posOffset>
                </wp:positionV>
                <wp:extent cx="527685" cy="541020"/>
                <wp:effectExtent l="0" t="0" r="0" b="0"/>
                <wp:wrapTight wrapText="bothSides">
                  <wp:wrapPolygon edited="1">
                    <wp:start x="0" y="0"/>
                    <wp:lineTo x="0" y="20535"/>
                    <wp:lineTo x="21054" y="20535"/>
                    <wp:lineTo x="21054" y="0"/>
                    <wp:lineTo x="0" y="0"/>
                  </wp:wrapPolygon>
                </wp:wrapTight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Рисунок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276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2096;o:allowoverlap:true;o:allowincell:true;mso-position-horizontal-relative:text;margin-left:0.10pt;mso-position-horizontal:absolute;mso-position-vertical-relative:text;margin-top:4.40pt;mso-position-vertical:absolute;width:41.55pt;height:42.60pt;mso-wrap-distance-left:9.00pt;mso-wrap-distance-top:0.00pt;mso-wrap-distance-right:9.00pt;mso-wrap-distance-bottom:0.00pt;" wrapcoords="0 0 0 95069 97472 95069 97472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Работа вблизи коротковолнового или микроволнового оборудования может вызвать нестабильность выходных параметров устройства.</w:t>
      </w:r>
      <w:r>
        <w:rPr>
          <w:rFonts w:ascii="Times New Roman" w:hAnsi="Times New Roman"/>
          <w:sz w:val="28"/>
          <w:szCs w:val="28"/>
        </w:rPr>
      </w:r>
    </w:p>
    <w:p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119380</wp:posOffset>
                </wp:positionV>
                <wp:extent cx="641985" cy="618490"/>
                <wp:effectExtent l="0" t="0" r="0" b="0"/>
                <wp:wrapTight wrapText="bothSides">
                  <wp:wrapPolygon edited="1">
                    <wp:start x="0" y="0"/>
                    <wp:lineTo x="0" y="20624"/>
                    <wp:lineTo x="21151" y="20624"/>
                    <wp:lineTo x="21151" y="0"/>
                    <wp:lineTo x="0" y="0"/>
                  </wp:wrapPolygon>
                </wp:wrapTight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исунок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198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53120;o:allowoverlap:true;o:allowincell:true;mso-position-horizontal-relative:text;margin-left:-4.25pt;mso-position-horizontal:absolute;mso-position-vertical-relative:text;margin-top:9.40pt;mso-position-vertical:absolute;width:50.55pt;height:48.70pt;mso-wrap-distance-left:9.00pt;mso-wrap-distance-top:0.00pt;mso-wrap-distance-right:9.00pt;mso-wrap-distance-bottom:0.00pt;" wrapcoords="0 0 0 95481 97921 95481 97921 0 0 0" stroked="f">
                <v:path textboxrect="0,0,0,0"/>
                <w10:wrap type="tight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Перед использованием устройства убедитесь, что напряжение сети соответствует требованиям сетевого источника питания. Запрещено использовать сетевой источник питания при несоответствии параметров сети. </w:t>
      </w:r>
      <w:r>
        <w:rPr>
          <w:rFonts w:ascii="Times New Roman" w:hAnsi="Times New Roman"/>
          <w:sz w:val="28"/>
          <w:szCs w:val="28"/>
        </w:rPr>
      </w:r>
    </w:p>
    <w:p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1033780</wp:posOffset>
                </wp:positionV>
                <wp:extent cx="651510" cy="1499870"/>
                <wp:effectExtent l="0" t="0" r="0" b="0"/>
                <wp:wrapTight wrapText="bothSides">
                  <wp:wrapPolygon edited="1">
                    <wp:start x="0" y="0"/>
                    <wp:lineTo x="0" y="21399"/>
                    <wp:lineTo x="20842" y="21399"/>
                    <wp:lineTo x="20842" y="0"/>
                    <wp:lineTo x="0" y="0"/>
                  </wp:wrapPolygon>
                </wp:wrapTight>
                <wp:docPr id="5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5151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54144;o:allowoverlap:true;o:allowincell:true;mso-position-horizontal-relative:text;margin-left:-2.50pt;mso-position-horizontal:absolute;mso-position-vertical-relative:text;margin-top:81.40pt;mso-position-vertical:absolute;width:51.30pt;height:118.10pt;mso-wrap-distance-left:9.00pt;mso-wrap-distance-top:0.00pt;mso-wrap-distance-right:9.00pt;mso-wrap-distance-bottom:0.00pt;" wrapcoords="0 0 0 99069 96491 99069 96491 0 0 0" stroked="f">
                <v:path textboxrect="0,0,0,0"/>
                <w10:wrap type="tight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39370</wp:posOffset>
                </wp:positionV>
                <wp:extent cx="618490" cy="626110"/>
                <wp:effectExtent l="0" t="0" r="0" b="0"/>
                <wp:wrapTight wrapText="bothSides">
                  <wp:wrapPolygon edited="1">
                    <wp:start x="0" y="0"/>
                    <wp:lineTo x="0" y="21030"/>
                    <wp:lineTo x="20624" y="21030"/>
                    <wp:lineTo x="20624" y="0"/>
                    <wp:lineTo x="0" y="0"/>
                  </wp:wrapPolygon>
                </wp:wrapTight>
                <wp:docPr id="6" name="Рисунок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10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>
                          <a:extLst>
                            <a:ext uri="{96DAC541-7B7A-43D3-8B79-37D633B846F1}">
                              <asvg:svgBlip xmlns:asvg="http://schemas.microsoft.com/office/drawing/2016/SVG/main" r:embed="rId2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1849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3360;o:allowoverlap:true;o:allowincell:true;mso-position-horizontal-relative:margin;margin-left:0.10pt;mso-position-horizontal:absolute;mso-position-vertical-relative:text;margin-top:3.10pt;mso-position-vertical:absolute;width:48.70pt;height:49.30pt;mso-wrap-distance-left:9.00pt;mso-wrap-distance-top:0.00pt;mso-wrap-distance-right:9.00pt;mso-wrap-distance-bottom:0.00pt;" wrapcoords="0 0 0 97361 95481 97361 95481 0 0 0" stroked="f">
                <v:path textboxrect="0,0,0,0"/>
                <w10:wrap type="tight"/>
                <v:imagedata r:id="rId1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Используйте то</w:t>
      </w:r>
      <w:r>
        <w:rPr>
          <w:rFonts w:ascii="Times New Roman" w:hAnsi="Times New Roman"/>
          <w:sz w:val="28"/>
          <w:szCs w:val="28"/>
        </w:rPr>
        <w:t xml:space="preserve">лько источник питания, поставляемый производителем в комплекте с устройством или с аналогичными техническими характеристиками. Использование другого источника питания может привести к выходу аппарата из строя, а также к риску поражения электрическим током.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Изделие содержит хрупкие элементы. Предохраняйте его от ударов.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Избегайте длительного нахождения аппарата под воздействием прямых солнечных лучей при высокой (&gt;25°C) температуре воздуха. Это может вызвать разрушение элементов питания.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676275" cy="704850"/>
                <wp:effectExtent l="0" t="0" r="9525" b="0"/>
                <wp:wrapTight wrapText="bothSides">
                  <wp:wrapPolygon edited="1">
                    <wp:start x="0" y="0"/>
                    <wp:lineTo x="0" y="21016"/>
                    <wp:lineTo x="21296" y="21016"/>
                    <wp:lineTo x="21296" y="0"/>
                    <wp:lineTo x="0" y="0"/>
                  </wp:wrapPolygon>
                </wp:wrapTight>
                <wp:docPr id="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76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55168;o:allowoverlap:true;o:allowincell:true;mso-position-horizontal-relative:margin;mso-position-horizontal:left;mso-position-vertical-relative:text;margin-top:14.35pt;mso-position-vertical:absolute;width:53.25pt;height:55.50pt;mso-wrap-distance-left:9.00pt;mso-wrap-distance-top:0.00pt;mso-wrap-distance-right:9.00pt;mso-wrap-distance-bottom:0.00pt;" wrapcoords="0 0 0 97296 98593 97296 98593 0 0 0" stroked="f">
                <v:path textboxrect="0,0,0,0"/>
                <w10:wrap type="tight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Аппарат не является водонепроницаемым. Оберегайте его от попадания капель, не пользуйтесь аппаратом в помещении с высокой влажностью, не ставьте на устройства емкости с жидкостями.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714375" cy="723900"/>
                <wp:effectExtent l="0" t="0" r="0" b="0"/>
                <wp:wrapTight wrapText="bothSides">
                  <wp:wrapPolygon edited="1">
                    <wp:start x="0" y="0"/>
                    <wp:lineTo x="0" y="21032"/>
                    <wp:lineTo x="21312" y="21032"/>
                    <wp:lineTo x="21312" y="0"/>
                    <wp:lineTo x="0" y="0"/>
                  </wp:wrapPolygon>
                </wp:wrapTight>
                <wp:docPr id="8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56192;o:allowoverlap:true;o:allowincell:true;mso-position-horizontal-relative:text;margin-left:0.05pt;mso-position-horizontal:absolute;mso-position-vertical-relative:text;margin-top:0.20pt;mso-position-vertical:absolute;width:56.25pt;height:57.00pt;mso-wrap-distance-left:9.00pt;mso-wrap-distance-top:0.00pt;mso-wrap-distance-right:9.00pt;mso-wrap-distance-bottom:0.00pt;" wrapcoords="0 0 0 97370 98667 97370 98667 0 0 0" stroked="f">
                <v:path textboxrect="0,0,0,0"/>
                <w10:wrap type="tight"/>
                <v:imagedata r:id="rId2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Все работы по ремонту изделия должны проводить квалифицированные специалисты на предприятии изготовителе.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714375" cy="804545"/>
                <wp:effectExtent l="0" t="0" r="9525" b="0"/>
                <wp:wrapTight wrapText="bothSides">
                  <wp:wrapPolygon edited="1">
                    <wp:start x="0" y="0"/>
                    <wp:lineTo x="0" y="20969"/>
                    <wp:lineTo x="21312" y="20969"/>
                    <wp:lineTo x="21312" y="0"/>
                    <wp:lineTo x="0" y="0"/>
                  </wp:wrapPolygon>
                </wp:wrapTight>
                <wp:docPr id="9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1658240;o:allowoverlap:true;o:allowincell:true;mso-position-horizontal-relative:margin;mso-position-horizontal:left;mso-position-vertical-relative:text;margin-top:14.60pt;mso-position-vertical:absolute;width:56.25pt;height:63.35pt;mso-wrap-distance-left:9.00pt;mso-wrap-distance-top:0.00pt;mso-wrap-distance-right:9.00pt;mso-wrap-distance-bottom:0.00pt;" wrapcoords="0 0 0 97079 98667 97079 98667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Условия транспортирования</w:t>
      </w:r>
      <w:r>
        <w:rPr>
          <w:rFonts w:ascii="Times New Roman" w:hAnsi="Times New Roman"/>
          <w:sz w:val="28"/>
          <w:szCs w:val="28"/>
        </w:rPr>
        <w:t xml:space="preserve">: температура от минус 50 до плюс 50 С, относительная влажность воздуха от 30 до 93 %, атмосферное давление от 70 до 106 кПа (от 525 до 795 мм рт. ст.).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-3175</wp:posOffset>
                </wp:positionV>
                <wp:extent cx="714375" cy="749935"/>
                <wp:effectExtent l="0" t="0" r="0" b="0"/>
                <wp:wrapTight wrapText="bothSides">
                  <wp:wrapPolygon edited="1">
                    <wp:start x="0" y="0"/>
                    <wp:lineTo x="0" y="20850"/>
                    <wp:lineTo x="21312" y="20850"/>
                    <wp:lineTo x="21312" y="0"/>
                    <wp:lineTo x="0" y="0"/>
                  </wp:wrapPolygon>
                </wp:wrapTight>
                <wp:docPr id="10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1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251657216;o:allowoverlap:true;o:allowincell:true;mso-position-horizontal-relative:text;margin-left:0.05pt;mso-position-horizontal:absolute;mso-position-vertical-relative:text;margin-top:-0.25pt;mso-position-vertical:absolute;width:56.25pt;height:59.05pt;mso-wrap-distance-left:9.00pt;mso-wrap-distance-top:0.00pt;mso-wrap-distance-right:9.00pt;mso-wrap-distance-bottom:0.00pt;" wrapcoords="0 0 0 96528 98667 96528 98667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Условия хранения</w:t>
      </w:r>
      <w:r>
        <w:rPr>
          <w:rFonts w:ascii="Times New Roman" w:hAnsi="Times New Roman"/>
          <w:sz w:val="28"/>
          <w:szCs w:val="28"/>
        </w:rPr>
        <w:t xml:space="preserve">: температура от минус 50 до плюс 45С, относительная влажность воздуха от 30до 93%, атмосферное давление от 70 до 106 кПа (от 525 до 795мм рт. ст.).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74930</wp:posOffset>
                </wp:positionV>
                <wp:extent cx="640715" cy="742950"/>
                <wp:effectExtent l="0" t="0" r="0" b="0"/>
                <wp:wrapTight wrapText="bothSides">
                  <wp:wrapPolygon edited="1">
                    <wp:start x="0" y="0"/>
                    <wp:lineTo x="0" y="21046"/>
                    <wp:lineTo x="21193" y="21046"/>
                    <wp:lineTo x="21193" y="0"/>
                    <wp:lineTo x="0" y="0"/>
                  </wp:wrapPolygon>
                </wp:wrapTight>
                <wp:docPr id="1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07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660288;o:allowoverlap:true;o:allowincell:true;mso-position-horizontal-relative:text;margin-left:3.15pt;mso-position-horizontal:absolute;mso-position-vertical-relative:text;margin-top:5.90pt;mso-position-vertical:absolute;width:50.45pt;height:58.50pt;mso-wrap-distance-left:9.00pt;mso-wrap-distance-top:0.00pt;mso-wrap-distance-right:9.00pt;mso-wrap-distance-bottom:0.00pt;" wrapcoords="0 0 0 97435 98116 97435 98116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Условия эксплуатации: температура от плюс 10 до плюс 35С, относительная влажность воздуха от 30 до 93 %, атмосферное давление от 70 до 106 кПа (от 525 до 795 мм рт. ст.).</w:t>
      </w:r>
      <w:r>
        <w:rPr>
          <w:rFonts w:ascii="Times New Roman" w:hAnsi="Times New Roman"/>
          <w:sz w:val="28"/>
          <w:szCs w:val="36"/>
        </w:rPr>
      </w:r>
    </w:p>
    <w:p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147320</wp:posOffset>
                </wp:positionV>
                <wp:extent cx="614680" cy="607060"/>
                <wp:effectExtent l="0" t="0" r="0" b="0"/>
                <wp:wrapTight wrapText="bothSides">
                  <wp:wrapPolygon edited="1">
                    <wp:start x="0" y="0"/>
                    <wp:lineTo x="0" y="21013"/>
                    <wp:lineTo x="20752" y="21013"/>
                    <wp:lineTo x="20752" y="0"/>
                    <wp:lineTo x="0" y="0"/>
                  </wp:wrapPolygon>
                </wp:wrapTight>
                <wp:docPr id="12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>
                          <a:extLst>
                            <a:ext uri="{96DAC541-7B7A-43D3-8B79-37D633B846F1}">
                              <asvg:svgBlip xmlns:asvg="http://schemas.microsoft.com/office/drawing/2016/SVG/main" r:embed="rId2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1468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251659264;o:allowoverlap:true;o:allowincell:true;mso-position-horizontal-relative:text;margin-left:7.90pt;mso-position-horizontal:absolute;mso-position-vertical-relative:text;margin-top:11.60pt;mso-position-vertical:absolute;width:48.40pt;height:47.80pt;mso-wrap-distance-left:9.00pt;mso-wrap-distance-top:0.00pt;mso-wrap-distance-right:9.00pt;mso-wrap-distance-bottom:0.00pt;" wrapcoords="0 0 0 97282 96074 97282 96074 0 0 0" stroked="f">
                <v:path textboxrect="0,0,0,0"/>
                <w10:wrap type="tight"/>
                <v:imagedata r:id="rId2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Внимание! Если устройство хранилось при температуре окружающего воздуха ниже 10°C, выдержите его в помещении при комнатной температуре не менее двух часов перед использованием.</w:t>
      </w:r>
      <w:r>
        <w:rPr>
          <w:rFonts w:ascii="Times New Roman" w:hAnsi="Times New Roman"/>
          <w:sz w:val="28"/>
          <w:szCs w:val="36"/>
        </w:rPr>
      </w:r>
    </w:p>
    <w:p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98425</wp:posOffset>
                </wp:positionV>
                <wp:extent cx="580390" cy="558165"/>
                <wp:effectExtent l="0" t="0" r="0" b="0"/>
                <wp:wrapTight wrapText="bothSides">
                  <wp:wrapPolygon edited="1">
                    <wp:start x="0" y="0"/>
                    <wp:lineTo x="0" y="20642"/>
                    <wp:lineTo x="20560" y="20642"/>
                    <wp:lineTo x="20560" y="0"/>
                    <wp:lineTo x="0" y="0"/>
                  </wp:wrapPolygon>
                </wp:wrapTight>
                <wp:docPr id="13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>
                          <a:extLst>
                            <a:ext uri="{96DAC541-7B7A-43D3-8B79-37D633B846F1}">
                              <asvg:svgBlip xmlns:asvg="http://schemas.microsoft.com/office/drawing/2016/SVG/main" r:embed="rId3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8039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251661312;o:allowoverlap:true;o:allowincell:true;mso-position-horizontal-relative:text;margin-left:10.60pt;mso-position-horizontal:absolute;mso-position-vertical-relative:text;margin-top:7.75pt;mso-position-vertical:absolute;width:45.70pt;height:43.95pt;mso-wrap-distance-left:9.00pt;mso-wrap-distance-top:0.00pt;mso-wrap-distance-right:9.00pt;mso-wrap-distance-bottom:0.00pt;" wrapcoords="0 0 0 95565 95185 95565 95185 0 0 0" stroked="f">
                <v:path textboxrect="0,0,0,0"/>
                <w10:wrap type="tight"/>
                <v:imagedata r:id="rId2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Утилизация: материалы упаковки аппарата не оказывают вредного воздействия на окружающую среду, их можно использовать повторно.</w:t>
      </w:r>
      <w:r>
        <w:rPr>
          <w:rFonts w:ascii="Times New Roman" w:hAnsi="Times New Roman"/>
          <w:sz w:val="28"/>
          <w:szCs w:val="36"/>
        </w:rPr>
      </w:r>
    </w:p>
    <w:p>
      <w:pPr>
        <w:ind w:left="1276"/>
        <w:jc w:val="both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94615</wp:posOffset>
                </wp:positionV>
                <wp:extent cx="638175" cy="589915"/>
                <wp:effectExtent l="0" t="0" r="0" b="0"/>
                <wp:wrapSquare wrapText="bothSides"/>
                <wp:docPr id="1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>
                          <a:extLst>
                            <a:ext uri="{96DAC541-7B7A-43D3-8B79-37D633B846F1}">
                              <asvg:svgBlip xmlns:asvg="http://schemas.microsoft.com/office/drawing/2016/SVG/main" r:embed="rId3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251662336;o:allowoverlap:true;o:allowincell:true;mso-position-horizontal-relative:text;margin-left:7.90pt;mso-position-horizontal:absolute;mso-position-vertical-relative:text;margin-top:7.45pt;mso-position-vertical:absolute;width:50.25pt;height:46.45pt;mso-wrap-distance-left:9.00pt;mso-wrap-distance-top:0.00pt;mso-wrap-distance-right:9.00pt;mso-wrap-distance-bottom:0.00pt;" stroked="f">
                <v:path textboxrect="0,0,0,0"/>
                <w10:wrap type="square"/>
                <v:imagedata r:id="rId3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Внимание! Аппарат содержит ценные материалы, которые могут быть вторично использованы после утилизации с учетом требований охраны окружающей среды. Их следует сдать в специально предназначенные места (проконсультируйтесь в соответствующих службах).</w:t>
      </w:r>
      <w:r>
        <w:rPr>
          <w:rFonts w:ascii="Times New Roman" w:hAnsi="Times New Roman"/>
          <w:sz w:val="32"/>
          <w:szCs w:val="40"/>
        </w:rPr>
      </w:r>
    </w:p>
    <w:p>
      <w:pPr>
        <w:pStyle w:val="703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НАЗНАЧЕНИЕ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Информационная индукционная система предназначена для передачи звуковой информации, людям с нарушениями функций слуха, использующих слуховой аппарат, имеющий режим «Т» или «МТ» (режим телефонно</w:t>
      </w:r>
      <w:r>
        <w:rPr>
          <w:rFonts w:ascii="Times New Roman" w:hAnsi="Times New Roman"/>
          <w:color w:val="000000"/>
          <w:sz w:val="28"/>
          <w:szCs w:val="28"/>
        </w:rPr>
        <w:t xml:space="preserve">й индукционной катушки), при переключении слухового аппарата в такой режим, человек, находящийся в непосредственной близости от индукционной системы, будет слышать только информацию, трансляция которой идёт через индукционную систему, без окружающих шумов.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устройство, передающее звуковую информацию от акустических электронных устройств (плеер, компьютер, система оповещения, система роботизированного диалога  и т.п.), будь то эл</w:t>
      </w:r>
      <w:r>
        <w:rPr>
          <w:rFonts w:ascii="Times New Roman" w:hAnsi="Times New Roman"/>
          <w:color w:val="000000"/>
          <w:sz w:val="28"/>
          <w:szCs w:val="28"/>
        </w:rPr>
        <w:t xml:space="preserve">ектронная очередь или любой иной вид оборудования, для этого должно быть установлено проводное соединение индукционной системы с устройством воспроизведения, при этом, для подключения к индукционной системе должен использоваться кабель имеющий разъем типа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color w:val="000000"/>
          <w:sz w:val="28"/>
          <w:szCs w:val="28"/>
        </w:rPr>
        <w:t xml:space="preserve">, диаметром 3,5 мм.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пер</w:t>
      </w:r>
      <w:r>
        <w:rPr>
          <w:rFonts w:ascii="Times New Roman" w:hAnsi="Times New Roman"/>
          <w:color w:val="000000"/>
          <w:sz w:val="28"/>
          <w:szCs w:val="28"/>
        </w:rPr>
        <w:t xml:space="preserve">едающее устройство при общении посетителя (инвалида по слуху) с персоналом учреждения (зачастую такое взаимодействие происходит на кассах, информационных стойках и т.п.), для этого к индукционной системе необходимо подключить выносной электретный микрофон.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Подключение и ввод в эксплуатацию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индукционной системы.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правой панели индукционной системы расположены клавиша включения, </w:t>
      </w:r>
      <w:r>
        <w:rPr>
          <w:rFonts w:ascii="Times New Roman" w:hAnsi="Times New Roman"/>
          <w:sz w:val="28"/>
          <w:szCs w:val="28"/>
        </w:rPr>
        <w:t xml:space="preserve">светодиодный индикатор состояния устройства (</w:t>
      </w:r>
      <w:r>
        <w:rPr>
          <w:rFonts w:ascii="Times New Roman" w:hAnsi="Times New Roman"/>
          <w:sz w:val="28"/>
          <w:szCs w:val="28"/>
        </w:rPr>
        <w:t xml:space="preserve">вкл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выкл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</w:rPr>
        <w:t xml:space="preserve"> разъем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 подключения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внешних источников звука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color w:val="000000"/>
          <w:sz w:val="28"/>
          <w:szCs w:val="28"/>
        </w:rPr>
        <w:t xml:space="preserve"> 3.5), разъем для подключения внешнего электретного микрофона: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9790" cy="2523490"/>
                <wp:effectExtent l="0" t="0" r="3810" b="6350"/>
                <wp:docPr id="15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Изображение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5939790" cy="252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467.70pt;height:198.70pt;mso-wrap-distance-left:0.00pt;mso-wrap-distance-top:0.00pt;mso-wrap-distance-right:0.00pt;mso-wrap-distance-bottom:0.00pt;" stroked="f">
                <v:path textboxrect="0,0,0,0"/>
                <v:imagedata r:id="rId3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левой панели индукционной системы расположены: разъем питания (ИСПОЛЬЗУЙТЕ ТОЛЬКО ОРИГИНАЛЬНЫЙ БЛОК ПИТАНИЯ!!!), разъемы для подключения индукционного контура: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879215" cy="2537460"/>
                <wp:effectExtent l="0" t="0" r="6985" b="7620"/>
                <wp:docPr id="16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Изображение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3879215" cy="253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305.45pt;height:199.80pt;mso-wrap-distance-left:0.00pt;mso-wrap-distance-top:0.00pt;mso-wrap-distance-right:0.00pt;mso-wrap-distance-bottom:0.00pt;" stroked="f" strokeweight="0.75pt">
                <v:path textboxrect="0,0,0,0"/>
                <v:imagedata r:id="rId3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эксплуатации индукционной системы необходимо провести кабель индукционного контура по одному из представленных вариантов: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6615" cy="3823970"/>
                <wp:effectExtent l="0" t="0" r="6985" b="1270"/>
                <wp:docPr id="17" name="Изображение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Изображение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5936615" cy="3823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467.45pt;height:301.10pt;mso-wrap-distance-left:0.00pt;mso-wrap-distance-top:0.00pt;mso-wrap-distance-right:0.00pt;mso-wrap-distance-bottom:0.00pt;" stroked="f" strokeweight="0.75pt">
                <v:path textboxrect="0,0,0,0"/>
                <v:imagedata r:id="rId3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 Для более качественной передачи сигнала </w:t>
      </w:r>
      <w:r>
        <w:rPr>
          <w:rFonts w:ascii="Times New Roman" w:hAnsi="Times New Roman"/>
          <w:b/>
          <w:sz w:val="28"/>
          <w:szCs w:val="28"/>
        </w:rPr>
        <w:t xml:space="preserve">поризводитель</w:t>
      </w:r>
      <w:r>
        <w:rPr>
          <w:rFonts w:ascii="Times New Roman" w:hAnsi="Times New Roman"/>
          <w:b/>
          <w:sz w:val="28"/>
          <w:szCs w:val="28"/>
        </w:rPr>
        <w:t xml:space="preserve"> рекомендует использовать второй вариант укладки кабеля индукционного контура (змейкой)!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Максимально допустимый шаг для стабильного сигнала - 2 метра. Обрезать кабель индукционного контура не допускается, это может привести к выводу усилителя индукционной системы из строя, оставшийся кабель м</w:t>
      </w:r>
      <w:r>
        <w:rPr>
          <w:rFonts w:ascii="Times New Roman" w:hAnsi="Times New Roman"/>
          <w:b/>
          <w:sz w:val="28"/>
          <w:szCs w:val="28"/>
        </w:rPr>
        <w:t xml:space="preserve">ожно уложить вдоль одной из сторон контура или смотать в бухту и разместить в любом удобном, доступном месте Расположение бухты, будет ли она смотана по середине кабеля или рядом с одним из разъемов подключения, не влияет на качество передаваемого сигнала.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Монтаж индукционного контура может быть осуществлен: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полу: в напольные кабель-каналы, плинтус.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стене: в кабель-каналы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потолку: над подвесным потолком, в кабель-каналы по потолку, при этом максимальная высота потолков не более 2.</w:t>
      </w:r>
      <w:r>
        <w:rPr>
          <w:rFonts w:ascii="Times New Roman" w:hAnsi="Times New Roman"/>
          <w:bCs/>
          <w:sz w:val="28"/>
          <w:szCs w:val="28"/>
        </w:rPr>
        <w:t xml:space="preserve">5</w:t>
      </w:r>
      <w:r>
        <w:rPr>
          <w:rFonts w:ascii="Times New Roman" w:hAnsi="Times New Roman"/>
          <w:bCs/>
          <w:sz w:val="28"/>
          <w:szCs w:val="28"/>
        </w:rPr>
        <w:t xml:space="preserve"> м.</w:t>
      </w:r>
      <w:r>
        <w:rPr>
          <w:rFonts w:ascii="Times New Roman" w:hAnsi="Times New Roman"/>
          <w:bCs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Устройство оснащено модулем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MP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b/>
          <w:sz w:val="28"/>
          <w:szCs w:val="28"/>
        </w:rPr>
        <w:t xml:space="preserve">плейера, с цифровым информационным дисплеем.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подключении внешних </w:t>
      </w:r>
      <w:r>
        <w:rPr>
          <w:rFonts w:ascii="Times New Roman" w:hAnsi="Times New Roman"/>
          <w:sz w:val="28"/>
          <w:szCs w:val="28"/>
        </w:rPr>
        <w:t xml:space="preserve">флеш</w:t>
      </w:r>
      <w:r>
        <w:rPr>
          <w:rFonts w:ascii="Times New Roman" w:hAnsi="Times New Roman"/>
          <w:sz w:val="28"/>
          <w:szCs w:val="28"/>
        </w:rPr>
        <w:t xml:space="preserve"> носителей (</w:t>
      </w:r>
      <w:r>
        <w:rPr>
          <w:rFonts w:ascii="Times New Roman" w:hAnsi="Times New Roman"/>
          <w:sz w:val="28"/>
          <w:szCs w:val="28"/>
          <w:lang w:val="en-US"/>
        </w:rPr>
        <w:t xml:space="preserve">USB</w:t>
      </w:r>
      <w:r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MicroSD</w:t>
      </w:r>
      <w:r>
        <w:rPr>
          <w:rFonts w:ascii="Times New Roman" w:hAnsi="Times New Roman"/>
          <w:sz w:val="28"/>
          <w:szCs w:val="28"/>
        </w:rPr>
        <w:t xml:space="preserve">), а </w:t>
      </w:r>
      <w:r>
        <w:rPr>
          <w:rFonts w:ascii="Times New Roman" w:hAnsi="Times New Roman"/>
          <w:sz w:val="28"/>
          <w:szCs w:val="28"/>
        </w:rPr>
        <w:t xml:space="preserve">так 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подключению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  <w:lang w:val="en-US"/>
        </w:rPr>
        <w:t xml:space="preserve">MP</w:t>
      </w:r>
      <w:r>
        <w:rPr>
          <w:rFonts w:ascii="Times New Roman" w:hAnsi="Times New Roman"/>
          <w:sz w:val="28"/>
          <w:szCs w:val="28"/>
        </w:rPr>
        <w:t xml:space="preserve">-3 </w:t>
      </w:r>
      <w:r>
        <w:rPr>
          <w:rFonts w:ascii="Times New Roman" w:hAnsi="Times New Roman"/>
          <w:sz w:val="28"/>
          <w:szCs w:val="28"/>
        </w:rPr>
        <w:t xml:space="preserve">плейеру по беспроводному протоколу </w:t>
      </w:r>
      <w:r>
        <w:rPr>
          <w:rFonts w:ascii="Times New Roman" w:hAnsi="Times New Roman"/>
          <w:sz w:val="28"/>
          <w:szCs w:val="28"/>
          <w:lang w:val="en-US"/>
        </w:rPr>
        <w:t xml:space="preserve">Bluetooth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будет воспроизводиться информация имеющаяся на </w:t>
      </w:r>
      <w:r>
        <w:rPr>
          <w:rFonts w:ascii="Times New Roman" w:hAnsi="Times New Roman"/>
          <w:sz w:val="28"/>
          <w:szCs w:val="28"/>
        </w:rPr>
        <w:t xml:space="preserve">флеш</w:t>
      </w:r>
      <w:r>
        <w:rPr>
          <w:rFonts w:ascii="Times New Roman" w:hAnsi="Times New Roman"/>
          <w:sz w:val="28"/>
          <w:szCs w:val="28"/>
        </w:rPr>
        <w:t xml:space="preserve"> носителях или транслируемая по беспроводному подключению.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MP-3 модуль позволяет проигрывать з</w:t>
      </w:r>
      <w:r>
        <w:rPr>
          <w:rFonts w:ascii="Times New Roman" w:hAnsi="Times New Roman" w:eastAsia="SimSun"/>
          <w:sz w:val="28"/>
          <w:szCs w:val="28"/>
        </w:rPr>
        <w:t xml:space="preserve">вуковые файлы, записанные в формате MP3, WMA на любом USB-носителе или SD карточке. На борту модуля установлен цифровой стереофонический FM тюнер. Функция эквалайзер позволяет регулировать тембр воспроизведения музыкальных файлов, записанных на SD или USB </w:t>
      </w:r>
      <w:r>
        <w:rPr>
          <w:rFonts w:ascii="Times New Roman" w:hAnsi="Times New Roman" w:eastAsia="SimSun"/>
          <w:sz w:val="28"/>
          <w:szCs w:val="28"/>
        </w:rPr>
        <w:t xml:space="preserve">флеш</w:t>
      </w:r>
      <w:r>
        <w:rPr>
          <w:rFonts w:ascii="Times New Roman" w:hAnsi="Times New Roman" w:eastAsia="SimSun"/>
          <w:sz w:val="28"/>
          <w:szCs w:val="28"/>
        </w:rPr>
        <w:t xml:space="preserve"> память с предустановками: рок, классика, норма, поп.</w:t>
      </w:r>
      <w:r>
        <w:rPr>
          <w:rFonts w:ascii="Times New Roman" w:hAnsi="Times New Roman" w:eastAsia="SimSun"/>
          <w:sz w:val="28"/>
          <w:szCs w:val="28"/>
        </w:rPr>
      </w:r>
    </w:p>
    <w:p>
      <w:pPr>
        <w:ind w:firstLine="708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С помощью встроенного Bluetooth модуля вы сможете без проводов пересылать высококачественное аудио с мобильных устройств, таких как iPhone, </w:t>
      </w:r>
      <w:r>
        <w:rPr>
          <w:rFonts w:ascii="Times New Roman" w:hAnsi="Times New Roman" w:eastAsia="SimSun"/>
          <w:sz w:val="28"/>
          <w:szCs w:val="28"/>
        </w:rPr>
        <w:t xml:space="preserve">Android</w:t>
      </w:r>
      <w:r>
        <w:rPr>
          <w:rFonts w:ascii="Times New Roman" w:hAnsi="Times New Roman" w:eastAsia="SimSun"/>
          <w:sz w:val="28"/>
          <w:szCs w:val="28"/>
        </w:rPr>
        <w:t xml:space="preserve">-совместимых смартфонов (планшетов) или с компьютера.</w:t>
      </w:r>
      <w:r>
        <w:rPr>
          <w:rFonts w:ascii="Times New Roman" w:hAnsi="Times New Roman" w:eastAsia="SimSun"/>
          <w:sz w:val="28"/>
          <w:szCs w:val="28"/>
        </w:rPr>
      </w:r>
    </w:p>
    <w:p>
      <w:pPr>
        <w:ind w:firstLine="708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Назначение </w:t>
      </w:r>
      <w:r>
        <w:rPr>
          <w:rFonts w:ascii="Times New Roman" w:hAnsi="Times New Roman" w:eastAsia="SimSun"/>
          <w:sz w:val="28"/>
          <w:szCs w:val="28"/>
        </w:rPr>
        <w:t xml:space="preserve">кнопок</w:t>
      </w:r>
      <w:r>
        <w:rPr>
          <w:rFonts w:ascii="Times New Roman" w:hAnsi="Times New Roman" w:eastAsia="SimSun"/>
          <w:sz w:val="28"/>
          <w:szCs w:val="28"/>
        </w:rPr>
        <w:t xml:space="preserve"> установленных на передней панели.</w:t>
      </w:r>
      <w:r>
        <w:rPr>
          <w:rFonts w:ascii="Times New Roman" w:hAnsi="Times New Roman" w:eastAsia="SimSun"/>
          <w:sz w:val="28"/>
          <w:szCs w:val="28"/>
        </w:rPr>
      </w:r>
    </w:p>
    <w:p>
      <w:pPr>
        <w:ind w:firstLine="708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 PREV </w:t>
      </w:r>
      <w:r>
        <w:rPr>
          <w:rFonts w:ascii="Times New Roman" w:hAnsi="Times New Roman" w:eastAsia="SimSun"/>
          <w:sz w:val="28"/>
          <w:szCs w:val="28"/>
        </w:rPr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USB/SD/Bluetooth: предыдущая композиция 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FM: предварительно настроенный канал вниз по диапазону </w:t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PLAY/PAUSE </w:t>
      </w:r>
      <w:r>
        <w:rPr>
          <w:rFonts w:ascii="Times New Roman" w:hAnsi="Times New Roman" w:eastAsia="SimSun"/>
          <w:sz w:val="28"/>
          <w:szCs w:val="28"/>
        </w:rPr>
      </w:r>
    </w:p>
    <w:p>
      <w:pPr>
        <w:numPr>
          <w:ilvl w:val="0"/>
          <w:numId w:val="2"/>
        </w:numPr>
        <w:spacing w:after="0" w:line="80" w:lineRule="atLeast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Режим USB/SD: воспроизведение/пауза </w:t>
      </w:r>
      <w:r>
        <w:rPr>
          <w:rFonts w:ascii="Times New Roman" w:hAnsi="Times New Roman" w:eastAsia="SimSun"/>
          <w:sz w:val="24"/>
          <w:szCs w:val="24"/>
        </w:rPr>
      </w:r>
    </w:p>
    <w:p>
      <w:pPr>
        <w:numPr>
          <w:ilvl w:val="0"/>
          <w:numId w:val="2"/>
        </w:numPr>
        <w:spacing w:after="0" w:line="80" w:lineRule="atLeast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Режим FM: автопоиск и запись частоты станций в каналы. </w:t>
      </w:r>
      <w:r>
        <w:rPr>
          <w:rFonts w:ascii="Times New Roman" w:hAnsi="Times New Roman" w:eastAsia="SimSun"/>
          <w:sz w:val="24"/>
          <w:szCs w:val="24"/>
        </w:rPr>
      </w:r>
    </w:p>
    <w:p>
      <w:pPr>
        <w:ind w:firstLine="708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NEXT </w:t>
      </w:r>
      <w:r>
        <w:rPr>
          <w:rFonts w:ascii="Times New Roman" w:hAnsi="Times New Roman" w:eastAsia="SimSun"/>
          <w:sz w:val="28"/>
          <w:szCs w:val="28"/>
        </w:rPr>
      </w:r>
    </w:p>
    <w:p>
      <w:pPr>
        <w:numPr>
          <w:ilvl w:val="0"/>
          <w:numId w:val="2"/>
        </w:numPr>
        <w:spacing w:after="0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Режим USB/SD: следующая композиция </w:t>
      </w:r>
      <w:r>
        <w:rPr>
          <w:rFonts w:ascii="Times New Roman" w:hAnsi="Times New Roman" w:eastAsia="SimSun"/>
          <w:sz w:val="24"/>
          <w:szCs w:val="24"/>
        </w:rPr>
      </w:r>
    </w:p>
    <w:p>
      <w:pPr>
        <w:numPr>
          <w:ilvl w:val="0"/>
          <w:numId w:val="2"/>
        </w:numPr>
        <w:spacing w:after="0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Режим FM: канал вверх по диапазону. </w:t>
      </w:r>
      <w:r>
        <w:rPr>
          <w:rFonts w:ascii="Times New Roman" w:hAnsi="Times New Roman" w:eastAsia="SimSun"/>
          <w:sz w:val="24"/>
          <w:szCs w:val="24"/>
        </w:rPr>
      </w:r>
    </w:p>
    <w:p>
      <w:pPr>
        <w:ind w:firstLine="708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 VOL+ </w:t>
      </w:r>
      <w:r>
        <w:rPr>
          <w:rFonts w:ascii="Times New Roman" w:hAnsi="Times New Roman" w:eastAsia="SimSun"/>
          <w:sz w:val="28"/>
          <w:szCs w:val="28"/>
        </w:rPr>
      </w:r>
    </w:p>
    <w:p>
      <w:pPr>
        <w:numPr>
          <w:ilvl w:val="0"/>
          <w:numId w:val="2"/>
        </w:numPr>
        <w:spacing w:after="0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Режим USB/SD и FM: звук + </w:t>
      </w:r>
      <w:r>
        <w:rPr>
          <w:rFonts w:ascii="Times New Roman" w:hAnsi="Times New Roman" w:eastAsia="SimSun"/>
          <w:sz w:val="24"/>
          <w:szCs w:val="24"/>
        </w:rPr>
      </w:r>
    </w:p>
    <w:p>
      <w:pPr>
        <w:ind w:firstLine="708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VOL-</w:t>
      </w:r>
      <w:r>
        <w:rPr>
          <w:rFonts w:ascii="Times New Roman" w:hAnsi="Times New Roman" w:eastAsia="SimSun"/>
          <w:sz w:val="28"/>
          <w:szCs w:val="28"/>
        </w:rPr>
      </w:r>
    </w:p>
    <w:p>
      <w:pPr>
        <w:numPr>
          <w:ilvl w:val="0"/>
          <w:numId w:val="2"/>
        </w:numPr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Режим USB/SD и FM: звук - </w:t>
      </w:r>
      <w:r>
        <w:rPr>
          <w:rFonts w:ascii="Times New Roman" w:hAnsi="Times New Roman" w:eastAsia="SimSun"/>
          <w:sz w:val="24"/>
          <w:szCs w:val="24"/>
        </w:rPr>
      </w:r>
    </w:p>
    <w:p>
      <w:pPr>
        <w:ind w:firstLine="708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MODE </w:t>
      </w:r>
      <w:r>
        <w:rPr>
          <w:rFonts w:ascii="Times New Roman" w:hAnsi="Times New Roman" w:eastAsia="SimSun"/>
          <w:sz w:val="28"/>
          <w:szCs w:val="28"/>
        </w:rPr>
      </w:r>
    </w:p>
    <w:p>
      <w:pPr>
        <w:numPr>
          <w:ilvl w:val="0"/>
          <w:numId w:val="2"/>
        </w:numPr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Короткое нажатие - последовательно переключает режимы USB – SD – AUX – FM </w:t>
      </w:r>
      <w:r>
        <w:rPr>
          <w:rFonts w:ascii="Times New Roman" w:hAnsi="Times New Roman" w:eastAsia="SimSun"/>
          <w:sz w:val="24"/>
          <w:szCs w:val="24"/>
        </w:rPr>
      </w:r>
    </w:p>
    <w:p>
      <w:pPr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Режимы воспроизведения файлов с </w:t>
      </w:r>
      <w:r>
        <w:rPr>
          <w:rFonts w:ascii="Times New Roman" w:hAnsi="Times New Roman" w:eastAsia="SimSun"/>
          <w:sz w:val="28"/>
          <w:szCs w:val="28"/>
        </w:rPr>
        <w:t xml:space="preserve">флеш</w:t>
      </w:r>
      <w:r>
        <w:rPr>
          <w:rFonts w:ascii="Times New Roman" w:hAnsi="Times New Roman" w:eastAsia="SimSun"/>
          <w:sz w:val="28"/>
          <w:szCs w:val="28"/>
        </w:rPr>
        <w:t xml:space="preserve"> накопителей включаются автоматически при подключении накопителя в соответствующий разъем.</w:t>
      </w:r>
      <w:r>
        <w:rPr>
          <w:rFonts w:ascii="Times New Roman" w:hAnsi="Times New Roman" w:eastAsia="SimSun"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Технические характеристики: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индукционного поля до 50 м2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Напряжение питания – 220В±5%, 50 Гц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Потребляемая мощность – не более 25 Вт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Частотный диапазон (при уровне -3 дБ) - 100 ÷ 8000 Гц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 питания светодиодный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MP3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Разъем </w:t>
      </w:r>
      <w:r>
        <w:rPr>
          <w:rFonts w:ascii="Times New Roman" w:hAnsi="Times New Roman"/>
          <w:sz w:val="28"/>
          <w:szCs w:val="28"/>
        </w:rPr>
        <w:t xml:space="preserve">jack</w:t>
      </w:r>
      <w:r>
        <w:rPr>
          <w:rFonts w:ascii="Times New Roman" w:hAnsi="Times New Roman"/>
          <w:sz w:val="28"/>
          <w:szCs w:val="28"/>
        </w:rPr>
        <w:t xml:space="preserve"> 3.5 мм для подключения электретного микрофона (с фантомным питанием до 9 В)</w:t>
      </w:r>
      <w:r>
        <w:rPr>
          <w:rFonts w:ascii="Times New Roman" w:hAnsi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Разъем </w:t>
      </w:r>
      <w:r>
        <w:rPr>
          <w:rFonts w:ascii="Times New Roman" w:hAnsi="Times New Roman"/>
          <w:sz w:val="28"/>
          <w:szCs w:val="28"/>
        </w:rPr>
        <w:t xml:space="preserve">jack</w:t>
      </w:r>
      <w:r>
        <w:rPr>
          <w:rFonts w:ascii="Times New Roman" w:hAnsi="Times New Roman"/>
          <w:sz w:val="28"/>
          <w:szCs w:val="28"/>
        </w:rPr>
        <w:t xml:space="preserve"> 3.5 мм для подключения источника звукового сигнала (входное напряжение 0,2-2 В)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 для подключения индукционного контура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усилителя – 186*96*53 мм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 усилителя~ 0,4 кг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0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Комплект поставки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Стационарная и</w:t>
      </w:r>
      <w:r>
        <w:rPr>
          <w:rFonts w:ascii="Times New Roman" w:hAnsi="Times New Roman"/>
          <w:sz w:val="28"/>
          <w:szCs w:val="28"/>
        </w:rPr>
        <w:t xml:space="preserve">ндукционная система </w:t>
      </w:r>
      <w:r>
        <w:rPr>
          <w:rFonts w:ascii="Times New Roman" w:hAnsi="Times New Roman"/>
          <w:sz w:val="28"/>
          <w:szCs w:val="28"/>
          <w:lang w:val="en-US"/>
        </w:rPr>
        <w:t xml:space="preserve">Dstrana Zone</w:t>
      </w:r>
      <w:r>
        <w:rPr>
          <w:rFonts w:ascii="Times New Roman" w:hAnsi="Times New Roman"/>
          <w:sz w:val="28"/>
          <w:szCs w:val="28"/>
        </w:rPr>
        <w:t xml:space="preserve">-50</w:t>
      </w:r>
      <w:r>
        <w:rPr>
          <w:rFonts w:ascii="Times New Roman" w:hAnsi="Times New Roman"/>
          <w:sz w:val="28"/>
          <w:szCs w:val="28"/>
        </w:rPr>
        <w:t xml:space="preserve">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Кабель индукционного контура - </w:t>
      </w:r>
      <w:r>
        <w:rPr>
          <w:rFonts w:ascii="Times New Roman" w:hAnsi="Times New Roman"/>
          <w:sz w:val="28"/>
          <w:szCs w:val="28"/>
          <w:lang w:val="en-US"/>
        </w:rPr>
        <w:t xml:space="preserve">40</w:t>
      </w:r>
      <w:r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</w:r>
    </w:p>
    <w:p>
      <w:pPr>
        <w:pStyle w:val="71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питания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по эксплуатации/Паспорт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9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Упаковка – 1 шт.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9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</w:t>
      </w:r>
      <w:r>
        <w:rPr>
          <w:rFonts w:ascii="Times New Roman" w:hAnsi="Times New Roman"/>
          <w:sz w:val="28"/>
          <w:szCs w:val="28"/>
        </w:rPr>
        <w:t xml:space="preserve"> Повышенный уровень шума в сигнале, принимаемом </w:t>
      </w:r>
      <w:r>
        <w:rPr>
          <w:rFonts w:ascii="Times New Roman" w:hAnsi="Times New Roman"/>
          <w:sz w:val="28"/>
          <w:szCs w:val="28"/>
        </w:rPr>
        <w:t xml:space="preserve">слуховым аппаратом</w:t>
      </w:r>
      <w:r>
        <w:rPr>
          <w:rFonts w:ascii="Times New Roman" w:hAnsi="Times New Roman"/>
          <w:sz w:val="28"/>
          <w:szCs w:val="28"/>
        </w:rPr>
        <w:t xml:space="preserve"> может быть обусловлен высоким уровнем электромагнитных </w:t>
      </w:r>
      <w:r>
        <w:rPr>
          <w:rFonts w:ascii="Times New Roman" w:hAnsi="Times New Roman"/>
          <w:sz w:val="28"/>
          <w:szCs w:val="28"/>
        </w:rPr>
        <w:t xml:space="preserve">помех в месте расположения информационной индукционной системы. Источниками электромагнитных помех могут являться различные электронные устройства, а также металлические предметы, расположенные между индукционной системой и слуховым аппаратом пользователя.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/>
      <w:bookmarkStart w:id="1" w:name="_Hlk200091916"/>
      <w:r>
        <w:rPr>
          <w:rFonts w:ascii="Times New Roman" w:hAnsi="Times New Roman"/>
          <w:b/>
          <w:sz w:val="28"/>
          <w:szCs w:val="28"/>
        </w:rPr>
        <w:t xml:space="preserve">АДРЕС ПРЕДПРИЯТИЯ-ИЗГОТОВИТЕЛЯ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Предприятие-разработчик, изготовитель и правообладатель ООО «Доступная страна»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ИНН </w:t>
      </w:r>
      <w:r>
        <w:rPr>
          <w:rFonts w:ascii="Times New Roman" w:hAnsi="Times New Roman"/>
          <w:b/>
          <w:sz w:val="28"/>
          <w:szCs w:val="28"/>
        </w:rPr>
        <w:t xml:space="preserve">7735527011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эксплуатации аппарата обращаться в ООО «Доступная страна»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адрес: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107113, г. Москва, ул. 1-я Рыбинская, д.1 стр.3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Тел./факс: </w:t>
      </w:r>
      <w:r>
        <w:rPr>
          <w:rFonts w:ascii="Times New Roman" w:hAnsi="Times New Roman"/>
          <w:sz w:val="28"/>
          <w:szCs w:val="28"/>
        </w:rPr>
        <w:t xml:space="preserve">8 800 200 13 80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заботы: </w:t>
      </w:r>
      <w:r>
        <w:rPr>
          <w:rFonts w:ascii="Times New Roman" w:hAnsi="Times New Roman"/>
          <w:sz w:val="28"/>
          <w:szCs w:val="28"/>
        </w:rPr>
        <w:t xml:space="preserve">8 (800) 700-3201 </w:t>
      </w:r>
      <w:r>
        <w:rPr>
          <w:rFonts w:ascii="Times New Roman" w:hAnsi="Times New Roman"/>
          <w:sz w:val="28"/>
          <w:szCs w:val="28"/>
        </w:rPr>
        <w:t xml:space="preserve">(для гарантийных случаев)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zakaz@dstrana.ru</w:t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dostupnaya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strana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bookmarkEnd w:id="1"/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  <w:outlineLvl w:val="0"/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"/>
          <w:b/>
          <w:sz w:val="24"/>
          <w:szCs w:val="20"/>
        </w:rPr>
        <w:outlineLvl w:val="0"/>
      </w:pPr>
      <w:r>
        <w:rPr>
          <w:rFonts w:ascii="Times New Roman" w:hAnsi="Times New Roman" w:eastAsia="Times"/>
          <w:b/>
          <w:sz w:val="24"/>
          <w:szCs w:val="20"/>
        </w:rPr>
        <w:t xml:space="preserve">ГАРАНТИЙНЫЙ ТАЛОН № ________</w:t>
      </w:r>
      <w:r>
        <w:rPr>
          <w:rFonts w:ascii="Times New Roman" w:hAnsi="Times New Roman" w:eastAsia="Times"/>
          <w:b/>
          <w:sz w:val="24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701"/>
      </w:tblGrid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Продавец: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Доступная страна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Покупатель: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Название оборудования: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Стационарная индукционная система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Dstrana Zone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-50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Серийный номер: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шт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gridSpan w:val="2"/>
            <w:tcW w:w="934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гарантийной поддержки: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  <w:between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службы: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 года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Условия предоставления гарантии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1.Гарантийный ремонт оборудования проводится при предъявлении клиентом полностью заполненного гарантийного талона.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2.Доставка</w:t>
      </w:r>
      <w:r>
        <w:rPr>
          <w:rFonts w:ascii="Times New Roman" w:hAnsi="Times New Roman"/>
          <w:color w:val="000000"/>
          <w:sz w:val="20"/>
          <w:szCs w:val="20"/>
        </w:rPr>
        <w:t xml:space="preserve"> оборудования, подлежащего гарантийному ремонту, в сервисную службу осуществляется клиентом самостоятельно и за свой счет, если иное не оговорено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в дополнительных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3.Гарантийные</w:t>
      </w:r>
      <w:r>
        <w:rPr>
          <w:rFonts w:ascii="Times New Roman" w:hAnsi="Times New Roman"/>
          <w:color w:val="000000"/>
          <w:sz w:val="20"/>
          <w:szCs w:val="20"/>
        </w:rPr>
        <w:t xml:space="preserve"> обязательства не распространяются на материалы и детали, считающиеся расходуемыми в процессе эксплуатации.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Условия прерывания гарантийных обязательств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Гарантийные обязательства могут быть прерваны в следующих случаях: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1.Несоответствие серийного номера предъявляемого на гарантийное обслуживание оборудования серийному номеру, указанному в гарантийном талоне и/или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2.Наличие явных или скрытых механических повреждений оборудования, вызванных нарушением правил транспортировки, хранения или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3.Выявленное в процессе ремонта несоответствие Правилам и условиям эксплуатации, предъявляемым к оборудованию данного типа.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4.Повреждение контрольных этикеток и пломб (если таковые имеются).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5.Наличие внутри корпуса оборудования посторонних предметов, независимо от их природы, если возможность подобного не оговорена в технической документации и Инструкциях по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6.Отказ оборудования, вызванный воздействием факторов непреодолимой силы и/или действиями третьих лиц.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7.Установка и запуск оборудования несертифицированным персоналом, в случаях, когда участие при установке и запуске квалифицированного персонала прямо оговорено в технической документации 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С условием гарантии согласен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Дата продажи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(фамилия покупателя)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«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__</w:t>
      </w:r>
      <w:r>
        <w:rPr>
          <w:rFonts w:ascii="Arial" w:hAnsi="Arial" w:cs="Arial"/>
          <w:color w:val="000000"/>
          <w:sz w:val="20"/>
          <w:szCs w:val="20"/>
        </w:rPr>
        <w:t xml:space="preserve">»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________</w:t>
      </w:r>
      <w:r>
        <w:rPr>
          <w:rFonts w:ascii="Arial" w:hAnsi="Arial" w:cs="Arial"/>
          <w:color w:val="000000"/>
          <w:sz w:val="20"/>
          <w:szCs w:val="20"/>
        </w:rPr>
        <w:t xml:space="preserve"> 202</w:t>
      </w:r>
      <w:r>
        <w:rPr>
          <w:rFonts w:ascii="Arial" w:hAnsi="Arial" w:cs="Arial"/>
          <w:color w:val="000000"/>
          <w:sz w:val="20"/>
          <w:szCs w:val="20"/>
        </w:rPr>
        <w:t xml:space="preserve">5</w:t>
      </w:r>
      <w:r>
        <w:rPr>
          <w:rFonts w:ascii="Arial" w:hAnsi="Arial" w:cs="Arial"/>
          <w:color w:val="000000"/>
          <w:sz w:val="20"/>
          <w:szCs w:val="20"/>
        </w:rPr>
        <w:t xml:space="preserve"> г.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(подпись </w:t>
      </w:r>
      <w:r>
        <w:rPr>
          <w:rFonts w:ascii="Arial" w:hAnsi="Arial" w:cs="Arial"/>
          <w:color w:val="000000"/>
          <w:sz w:val="20"/>
          <w:szCs w:val="20"/>
        </w:rPr>
        <w:t xml:space="preserve">покупателя)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 xml:space="preserve">М.П.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sectPr>
      <w:headerReference w:type="first" r:id="rId9"/>
      <w:footerReference w:type="default" r:id="rId10"/>
      <w:footnotePr/>
      <w:endnotePr/>
      <w:type w:val="nextPage"/>
      <w:pgSz w:w="11906" w:h="16838" w:orient="portrait"/>
      <w:pgMar w:top="69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5030504050203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ahoma">
    <w:panose1 w:val="020B060403050404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9</w:t>
    </w:r>
    <w:r>
      <w:fldChar w:fldCharType="end"/>
    </w:r>
    <w:r/>
  </w:p>
  <w:p>
    <w:pPr>
      <w:pStyle w:val="712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center"/>
    </w:pPr>
    <w:r>
      <w:rPr>
        <w:highlight w:val="none"/>
      </w:rPr>
    </w:r>
    <w:r>
      <w:rPr>
        <w:highlight w:val="none"/>
      </w:rPr>
    </w:r>
  </w:p>
  <w:p>
    <w:pPr>
      <w:pStyle w:val="711"/>
      <w:jc w:val="center"/>
      <w:rPr>
        <w:highlight w:val="none"/>
      </w:rPr>
    </w:pPr>
    <w:r/>
    <w:r>
      <mc:AlternateContent>
        <mc:Choice Requires="wpg">
          <w:drawing>
            <wp:inline xmlns:wp="http://schemas.openxmlformats.org/drawingml/2006/wordprocessingDrawing" distT="0" distB="0" distL="0" distR="0">
              <wp:extent cx="2256078" cy="728373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0674046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256077" cy="7283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77.64pt;height:57.35pt;mso-wrap-distance-left:0.00pt;mso-wrap-distance-top:0.00pt;mso-wrap-distance-right:0.00pt;mso-wrap-distance-bottom:0.00pt;rotation:0;" stroked="false">
              <v:path textboxrect="0,0,0,0"/>
              <v:imagedata r:id="rId1" o:title=""/>
            </v:shape>
          </w:pict>
        </mc:Fallback>
      </mc:AlternateContent>
    </w: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 w:cs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left" w:pos="1440" w:leader="none"/>
        </w:tabs>
      </w:pPr>
      <w:rPr>
        <w:rFonts w:hint="default" w:ascii="Symbol" w:hAnsi="Symbol" w:cs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left" w:pos="2160" w:leader="none"/>
        </w:tabs>
      </w:pPr>
      <w:rPr>
        <w:rFonts w:hint="default" w:ascii="Symbol" w:hAnsi="Symbol" w:cs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hint="default" w:ascii="Symbol" w:hAnsi="Symbol" w:cs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left" w:pos="3600" w:leader="none"/>
        </w:tabs>
      </w:pPr>
      <w:rPr>
        <w:rFonts w:hint="default" w:ascii="Symbol" w:hAnsi="Symbol" w:cs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left" w:pos="4320" w:leader="none"/>
        </w:tabs>
      </w:pPr>
      <w:rPr>
        <w:rFonts w:hint="default" w:ascii="Symbol" w:hAnsi="Symbol" w:cs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hint="default" w:ascii="Symbol" w:hAnsi="Symbol" w:cs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left" w:pos="5760" w:leader="none"/>
        </w:tabs>
      </w:pPr>
      <w:rPr>
        <w:rFonts w:hint="default" w:ascii="Symbol" w:hAnsi="Symbol" w:cs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left" w:pos="6480" w:leader="none"/>
        </w:tabs>
      </w:pPr>
      <w:rPr>
        <w:rFonts w:hint="default" w:ascii="Symbol" w:hAnsi="Symbol" w:cs="Symbol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6"/>
    <w:link w:val="70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6"/>
    <w:link w:val="70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6"/>
    <w:link w:val="705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2"/>
    <w:next w:val="70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2"/>
    <w:next w:val="70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2"/>
    <w:next w:val="70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2"/>
    <w:next w:val="70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2"/>
    <w:next w:val="70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2"/>
    <w:next w:val="70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2"/>
    <w:next w:val="70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6"/>
    <w:link w:val="34"/>
    <w:uiPriority w:val="10"/>
    <w:rPr>
      <w:sz w:val="48"/>
      <w:szCs w:val="48"/>
    </w:rPr>
  </w:style>
  <w:style w:type="paragraph" w:styleId="36">
    <w:name w:val="Subtitle"/>
    <w:basedOn w:val="702"/>
    <w:next w:val="70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6"/>
    <w:link w:val="36"/>
    <w:uiPriority w:val="11"/>
    <w:rPr>
      <w:sz w:val="24"/>
      <w:szCs w:val="24"/>
    </w:rPr>
  </w:style>
  <w:style w:type="paragraph" w:styleId="38">
    <w:name w:val="Quote"/>
    <w:basedOn w:val="702"/>
    <w:next w:val="70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2"/>
    <w:next w:val="70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6"/>
    <w:link w:val="711"/>
    <w:uiPriority w:val="99"/>
  </w:style>
  <w:style w:type="character" w:styleId="45">
    <w:name w:val="Footer Char"/>
    <w:basedOn w:val="706"/>
    <w:link w:val="712"/>
    <w:uiPriority w:val="99"/>
  </w:style>
  <w:style w:type="paragraph" w:styleId="46">
    <w:name w:val="Caption"/>
    <w:basedOn w:val="702"/>
    <w:next w:val="70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6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7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6"/>
    <w:uiPriority w:val="99"/>
    <w:unhideWhenUsed/>
    <w:rPr>
      <w:vertAlign w:val="superscript"/>
    </w:rPr>
  </w:style>
  <w:style w:type="paragraph" w:styleId="178">
    <w:name w:val="endnote text"/>
    <w:basedOn w:val="70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6"/>
    <w:uiPriority w:val="99"/>
    <w:semiHidden/>
    <w:unhideWhenUsed/>
    <w:rPr>
      <w:vertAlign w:val="superscript"/>
    </w:rPr>
  </w:style>
  <w:style w:type="paragraph" w:styleId="181">
    <w:name w:val="toc 1"/>
    <w:basedOn w:val="702"/>
    <w:next w:val="70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2"/>
    <w:next w:val="70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2"/>
    <w:next w:val="70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2"/>
    <w:next w:val="70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2"/>
    <w:next w:val="70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2"/>
    <w:next w:val="70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2"/>
    <w:next w:val="70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2"/>
    <w:next w:val="70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2"/>
    <w:next w:val="70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2"/>
    <w:next w:val="702"/>
    <w:uiPriority w:val="99"/>
    <w:unhideWhenUsed/>
    <w:pPr>
      <w:spacing w:after="0" w:afterAutospacing="0"/>
    </w:pPr>
  </w:style>
  <w:style w:type="paragraph" w:styleId="702" w:default="1">
    <w:name w:val="Normal"/>
    <w:qFormat/>
    <w:pPr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703">
    <w:name w:val="Heading 1"/>
    <w:basedOn w:val="702"/>
    <w:next w:val="702"/>
    <w:link w:val="717"/>
    <w:uiPriority w:val="9"/>
    <w:qFormat/>
    <w:pPr>
      <w:keepLines/>
      <w:keepNext/>
      <w:spacing w:before="480" w:after="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704">
    <w:name w:val="Heading 2"/>
    <w:basedOn w:val="702"/>
    <w:next w:val="702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05">
    <w:name w:val="Heading 3"/>
    <w:basedOn w:val="702"/>
    <w:next w:val="702"/>
    <w:link w:val="718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>
    <w:name w:val="Hyperlink"/>
    <w:basedOn w:val="706"/>
    <w:uiPriority w:val="99"/>
    <w:semiHidden/>
    <w:unhideWhenUsed/>
    <w:qFormat/>
    <w:rPr>
      <w:color w:val="0563c1" w:themeColor="hyperlink"/>
      <w:u w:val="single"/>
    </w:rPr>
  </w:style>
  <w:style w:type="paragraph" w:styleId="710">
    <w:name w:val="Balloon Text"/>
    <w:basedOn w:val="702"/>
    <w:link w:val="713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11">
    <w:name w:val="Header"/>
    <w:basedOn w:val="702"/>
    <w:link w:val="715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12">
    <w:name w:val="Footer"/>
    <w:basedOn w:val="702"/>
    <w:link w:val="716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character" w:styleId="713" w:customStyle="1">
    <w:name w:val="Текст выноски Знак"/>
    <w:link w:val="710"/>
    <w:uiPriority w:val="99"/>
    <w:semiHidden/>
    <w:qFormat/>
    <w:rPr>
      <w:rFonts w:ascii="Tahoma" w:hAnsi="Tahoma" w:cs="Tahoma"/>
      <w:sz w:val="16"/>
      <w:szCs w:val="16"/>
    </w:rPr>
  </w:style>
  <w:style w:type="paragraph" w:styleId="714" w:customStyle="1">
    <w:name w:val="Абзац списка1"/>
    <w:basedOn w:val="702"/>
    <w:uiPriority w:val="34"/>
    <w:qFormat/>
    <w:pPr>
      <w:contextualSpacing/>
      <w:ind w:left="720"/>
    </w:pPr>
  </w:style>
  <w:style w:type="character" w:styleId="715" w:customStyle="1">
    <w:name w:val="Верхний колонтитул Знак"/>
    <w:link w:val="711"/>
    <w:uiPriority w:val="99"/>
    <w:qFormat/>
    <w:rPr>
      <w:sz w:val="22"/>
      <w:szCs w:val="22"/>
    </w:rPr>
  </w:style>
  <w:style w:type="character" w:styleId="716" w:customStyle="1">
    <w:name w:val="Нижний колонтитул Знак"/>
    <w:link w:val="712"/>
    <w:uiPriority w:val="99"/>
    <w:qFormat/>
    <w:rPr>
      <w:sz w:val="22"/>
      <w:szCs w:val="22"/>
    </w:rPr>
  </w:style>
  <w:style w:type="character" w:styleId="717" w:customStyle="1">
    <w:name w:val="Заголовок 1 Знак"/>
    <w:link w:val="703"/>
    <w:uiPriority w:val="9"/>
    <w:qFormat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styleId="718" w:customStyle="1">
    <w:name w:val="Заголовок 3 Знак"/>
    <w:link w:val="705"/>
    <w:uiPriority w:val="9"/>
    <w:semiHidden/>
    <w:qFormat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719" w:customStyle="1">
    <w:name w:val="Без интервала1"/>
    <w:uiPriority w:val="1"/>
    <w:qFormat/>
    <w:rPr>
      <w:rFonts w:ascii="Calibri" w:hAnsi="Calibri" w:eastAsia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emf"/><Relationship Id="rId12" Type="http://schemas.openxmlformats.org/officeDocument/2006/relationships/image" Target="media/media1.svg"/><Relationship Id="rId13" Type="http://schemas.openxmlformats.org/officeDocument/2006/relationships/image" Target="media/image3.emf"/><Relationship Id="rId14" Type="http://schemas.openxmlformats.org/officeDocument/2006/relationships/image" Target="media/media2.svg"/><Relationship Id="rId15" Type="http://schemas.openxmlformats.org/officeDocument/2006/relationships/image" Target="media/image4.emf"/><Relationship Id="rId16" Type="http://schemas.openxmlformats.org/officeDocument/2006/relationships/image" Target="media/media3.svg"/><Relationship Id="rId17" Type="http://schemas.openxmlformats.org/officeDocument/2006/relationships/image" Target="media/image5.emf"/><Relationship Id="rId18" Type="http://schemas.openxmlformats.org/officeDocument/2006/relationships/image" Target="media/media4.svg"/><Relationship Id="rId19" Type="http://schemas.openxmlformats.org/officeDocument/2006/relationships/image" Target="media/image6.emf"/><Relationship Id="rId20" Type="http://schemas.openxmlformats.org/officeDocument/2006/relationships/image" Target="media/media5.svg"/><Relationship Id="rId21" Type="http://schemas.openxmlformats.org/officeDocument/2006/relationships/image" Target="media/image7.emf"/><Relationship Id="rId22" Type="http://schemas.openxmlformats.org/officeDocument/2006/relationships/image" Target="media/media6.svg"/><Relationship Id="rId23" Type="http://schemas.openxmlformats.org/officeDocument/2006/relationships/image" Target="media/image8.emf"/><Relationship Id="rId24" Type="http://schemas.openxmlformats.org/officeDocument/2006/relationships/image" Target="media/media7.svg"/><Relationship Id="rId25" Type="http://schemas.openxmlformats.org/officeDocument/2006/relationships/image" Target="media/image9.emf"/><Relationship Id="rId26" Type="http://schemas.openxmlformats.org/officeDocument/2006/relationships/image" Target="media/media8.svg"/><Relationship Id="rId27" Type="http://schemas.openxmlformats.org/officeDocument/2006/relationships/image" Target="media/image10.emf"/><Relationship Id="rId28" Type="http://schemas.openxmlformats.org/officeDocument/2006/relationships/image" Target="media/media9.svg"/><Relationship Id="rId29" Type="http://schemas.openxmlformats.org/officeDocument/2006/relationships/image" Target="media/image11.emf"/><Relationship Id="rId30" Type="http://schemas.openxmlformats.org/officeDocument/2006/relationships/image" Target="media/media10.svg"/><Relationship Id="rId31" Type="http://schemas.openxmlformats.org/officeDocument/2006/relationships/image" Target="media/image12.emf"/><Relationship Id="rId32" Type="http://schemas.openxmlformats.org/officeDocument/2006/relationships/image" Target="media/media11.svg"/><Relationship Id="rId33" Type="http://schemas.openxmlformats.org/officeDocument/2006/relationships/image" Target="media/image13.png"/><Relationship Id="rId34" Type="http://schemas.openxmlformats.org/officeDocument/2006/relationships/image" Target="media/image14.png"/><Relationship Id="rId35" Type="http://schemas.openxmlformats.org/officeDocument/2006/relationships/image" Target="media/image1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invacenter</dc:creator>
  <cp:lastModifiedBy>Александра Сулбаева</cp:lastModifiedBy>
  <cp:revision>3</cp:revision>
  <dcterms:created xsi:type="dcterms:W3CDTF">2017-07-18T16:11:00Z</dcterms:created>
  <dcterms:modified xsi:type="dcterms:W3CDTF">2025-06-11T14:39:45Z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0A798F8594A64489BF8519A72BF54B42_13</vt:lpwstr>
  </property>
</Properties>
</file>